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06887" w14:textId="77777777" w:rsidR="00FE5DAC" w:rsidRPr="00FE5DAC" w:rsidRDefault="00FE5DAC" w:rsidP="00FE5DAC">
      <w:pPr>
        <w:widowControl/>
        <w:spacing w:before="100" w:beforeAutospacing="1" w:after="100" w:afterAutospacing="1" w:line="360" w:lineRule="auto"/>
        <w:jc w:val="left"/>
        <w:outlineLvl w:val="0"/>
        <w:rPr>
          <w:rFonts w:ascii="Arial" w:eastAsia="宋体" w:hAnsi="Arial" w:cs="Arial"/>
          <w:b/>
          <w:bCs/>
          <w:kern w:val="36"/>
          <w:sz w:val="40"/>
          <w:szCs w:val="40"/>
        </w:rPr>
      </w:pPr>
      <w:r w:rsidRPr="00FE5DAC">
        <w:rPr>
          <w:rFonts w:ascii="Arial" w:eastAsia="宋体" w:hAnsi="Arial" w:cs="Arial"/>
          <w:b/>
          <w:bCs/>
          <w:kern w:val="36"/>
          <w:sz w:val="40"/>
          <w:szCs w:val="40"/>
        </w:rPr>
        <w:t>Golden Gate (24 Fragment) Assembly Protocol</w:t>
      </w:r>
    </w:p>
    <w:p w14:paraId="7B16F023" w14:textId="44161B92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b/>
          <w:bCs/>
          <w:kern w:val="0"/>
          <w:szCs w:val="21"/>
        </w:rPr>
        <w:t>Materials</w:t>
      </w:r>
    </w:p>
    <w:p w14:paraId="3A075A8A" w14:textId="052F4C8A" w:rsidR="00FE5DAC" w:rsidRDefault="008F3783" w:rsidP="00FE5DAC">
      <w:pPr>
        <w:widowControl/>
        <w:numPr>
          <w:ilvl w:val="0"/>
          <w:numId w:val="1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551AC5" wp14:editId="1A063113">
            <wp:simplePos x="0" y="0"/>
            <wp:positionH relativeFrom="column">
              <wp:posOffset>495046</wp:posOffset>
            </wp:positionH>
            <wp:positionV relativeFrom="paragraph">
              <wp:posOffset>265430</wp:posOffset>
            </wp:positionV>
            <wp:extent cx="5274310" cy="220345"/>
            <wp:effectExtent l="0" t="0" r="2540" b="825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DAC" w:rsidRPr="00FE5DAC">
        <w:rPr>
          <w:rFonts w:ascii="Arial" w:eastAsia="宋体" w:hAnsi="Arial" w:cs="Arial"/>
          <w:kern w:val="0"/>
          <w:szCs w:val="21"/>
        </w:rPr>
        <w:t>T4 DNA Ligase (</w:t>
      </w:r>
      <w:hyperlink r:id="rId6" w:history="1">
        <w:r w:rsidR="00FE5DAC" w:rsidRPr="00FE5DAC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NEB #M0202</w:t>
        </w:r>
      </w:hyperlink>
      <w:r w:rsidR="00FE5DAC" w:rsidRPr="00FE5DAC">
        <w:rPr>
          <w:rFonts w:ascii="Arial" w:eastAsia="宋体" w:hAnsi="Arial" w:cs="Arial"/>
          <w:kern w:val="0"/>
          <w:szCs w:val="21"/>
        </w:rPr>
        <w:t>)</w:t>
      </w:r>
    </w:p>
    <w:p w14:paraId="171DF10B" w14:textId="2B20578D" w:rsidR="008F3783" w:rsidRPr="00FE5DAC" w:rsidRDefault="008F3783" w:rsidP="004B35DB">
      <w:pPr>
        <w:widowControl/>
        <w:spacing w:before="100" w:beforeAutospacing="1" w:after="100" w:afterAutospacing="1" w:line="240" w:lineRule="exact"/>
        <w:ind w:left="720"/>
        <w:jc w:val="left"/>
        <w:rPr>
          <w:rFonts w:ascii="Arial" w:eastAsia="宋体" w:hAnsi="Arial" w:cs="Arial" w:hint="eastAsia"/>
          <w:kern w:val="0"/>
          <w:szCs w:val="21"/>
        </w:rPr>
      </w:pPr>
      <w:bookmarkStart w:id="0" w:name="_GoBack"/>
      <w:bookmarkEnd w:id="0"/>
    </w:p>
    <w:p w14:paraId="4729224B" w14:textId="345F9007" w:rsidR="00FE5DAC" w:rsidRDefault="008F3783" w:rsidP="00FE5DAC">
      <w:pPr>
        <w:widowControl/>
        <w:numPr>
          <w:ilvl w:val="0"/>
          <w:numId w:val="1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BB740C3" wp14:editId="1D5CD38F">
            <wp:simplePos x="0" y="0"/>
            <wp:positionH relativeFrom="column">
              <wp:posOffset>363373</wp:posOffset>
            </wp:positionH>
            <wp:positionV relativeFrom="paragraph">
              <wp:posOffset>273050</wp:posOffset>
            </wp:positionV>
            <wp:extent cx="5274310" cy="464820"/>
            <wp:effectExtent l="0" t="0" r="254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DAC" w:rsidRPr="00FE5DAC">
        <w:rPr>
          <w:rFonts w:ascii="Arial" w:eastAsia="宋体" w:hAnsi="Arial" w:cs="Arial"/>
          <w:kern w:val="0"/>
          <w:szCs w:val="21"/>
        </w:rPr>
        <w:t>BsaI-HFv2 (</w:t>
      </w:r>
      <w:hyperlink r:id="rId8" w:history="1">
        <w:r w:rsidR="00FE5DAC" w:rsidRPr="00FE5DAC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NEB #R3733</w:t>
        </w:r>
      </w:hyperlink>
      <w:r w:rsidR="00FE5DAC" w:rsidRPr="00FE5DAC">
        <w:rPr>
          <w:rFonts w:ascii="Arial" w:eastAsia="宋体" w:hAnsi="Arial" w:cs="Arial"/>
          <w:kern w:val="0"/>
          <w:szCs w:val="21"/>
        </w:rPr>
        <w:t>)</w:t>
      </w:r>
    </w:p>
    <w:p w14:paraId="10158000" w14:textId="77777777" w:rsidR="00FE5DAC" w:rsidRPr="00FE5DAC" w:rsidRDefault="00FE5DAC" w:rsidP="00FE5DAC">
      <w:pPr>
        <w:widowControl/>
        <w:numPr>
          <w:ilvl w:val="0"/>
          <w:numId w:val="1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proofErr w:type="spellStart"/>
      <w:r w:rsidRPr="00FE5DAC">
        <w:rPr>
          <w:rFonts w:ascii="Arial" w:eastAsia="宋体" w:hAnsi="Arial" w:cs="Arial"/>
          <w:kern w:val="0"/>
          <w:szCs w:val="21"/>
        </w:rPr>
        <w:t>pGGA</w:t>
      </w:r>
      <w:proofErr w:type="spellEnd"/>
      <w:r w:rsidRPr="00FE5DAC">
        <w:rPr>
          <w:rFonts w:ascii="Arial" w:eastAsia="宋体" w:hAnsi="Arial" w:cs="Arial"/>
          <w:kern w:val="0"/>
          <w:szCs w:val="21"/>
        </w:rPr>
        <w:t xml:space="preserve"> Destination Plasmid*</w:t>
      </w:r>
    </w:p>
    <w:p w14:paraId="23DC30EE" w14:textId="77777777" w:rsidR="00FE5DAC" w:rsidRPr="00FE5DAC" w:rsidRDefault="00FE5DAC" w:rsidP="00FE5DAC">
      <w:pPr>
        <w:widowControl/>
        <w:numPr>
          <w:ilvl w:val="0"/>
          <w:numId w:val="1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 xml:space="preserve">NEB 10-beta Competent </w:t>
      </w:r>
      <w:r w:rsidRPr="00FE5DAC">
        <w:rPr>
          <w:rFonts w:ascii="Arial" w:eastAsia="宋体" w:hAnsi="Arial" w:cs="Arial"/>
          <w:i/>
          <w:iCs/>
          <w:kern w:val="0"/>
          <w:szCs w:val="21"/>
        </w:rPr>
        <w:t>E. coli</w:t>
      </w:r>
      <w:r w:rsidRPr="00FE5DAC">
        <w:rPr>
          <w:rFonts w:ascii="Arial" w:eastAsia="宋体" w:hAnsi="Arial" w:cs="Arial"/>
          <w:kern w:val="0"/>
          <w:szCs w:val="21"/>
        </w:rPr>
        <w:t xml:space="preserve"> (</w:t>
      </w:r>
      <w:hyperlink r:id="rId9" w:history="1">
        <w:r w:rsidRPr="00FE5DAC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NEB #C3019</w:t>
        </w:r>
      </w:hyperlink>
      <w:r w:rsidRPr="00FE5DAC">
        <w:rPr>
          <w:rFonts w:ascii="Arial" w:eastAsia="宋体" w:hAnsi="Arial" w:cs="Arial"/>
          <w:kern w:val="0"/>
          <w:szCs w:val="21"/>
        </w:rPr>
        <w:t>)</w:t>
      </w:r>
    </w:p>
    <w:p w14:paraId="514DE563" w14:textId="77777777" w:rsidR="00FE5DAC" w:rsidRPr="00FE5DAC" w:rsidRDefault="00FE5DAC" w:rsidP="00FE5DAC">
      <w:pPr>
        <w:widowControl/>
        <w:numPr>
          <w:ilvl w:val="0"/>
          <w:numId w:val="1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NEB 10-beta/Stable Outgrowth Medium (</w:t>
      </w:r>
      <w:hyperlink r:id="rId10" w:history="1">
        <w:r w:rsidRPr="00FE5DAC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NEB #B9035</w:t>
        </w:r>
      </w:hyperlink>
      <w:r w:rsidRPr="00FE5DAC">
        <w:rPr>
          <w:rFonts w:ascii="Arial" w:eastAsia="宋体" w:hAnsi="Arial" w:cs="Arial"/>
          <w:kern w:val="0"/>
          <w:szCs w:val="21"/>
        </w:rPr>
        <w:t>)</w:t>
      </w:r>
    </w:p>
    <w:p w14:paraId="3465F962" w14:textId="77777777" w:rsidR="00FE5DAC" w:rsidRPr="00FE5DAC" w:rsidRDefault="00FE5DAC" w:rsidP="00FE5DAC">
      <w:pPr>
        <w:widowControl/>
        <w:numPr>
          <w:ilvl w:val="0"/>
          <w:numId w:val="1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LB Agar plates with chloramphenicol </w:t>
      </w:r>
    </w:p>
    <w:p w14:paraId="4DD04007" w14:textId="49352E53" w:rsidR="00E3289E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 w:hint="eastAsia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 xml:space="preserve">* </w:t>
      </w:r>
      <w:r w:rsidRPr="00FE5DAC">
        <w:rPr>
          <w:rFonts w:ascii="Arial" w:eastAsia="宋体" w:hAnsi="Arial" w:cs="Arial"/>
          <w:kern w:val="0"/>
          <w:szCs w:val="21"/>
        </w:rPr>
        <w:t>Included in the NEB Golden Gate Assembly Mix (</w:t>
      </w:r>
      <w:hyperlink r:id="rId11" w:history="1">
        <w:r w:rsidRPr="00FE5DAC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NEB #E1600</w:t>
        </w:r>
      </w:hyperlink>
      <w:r w:rsidRPr="00FE5DAC">
        <w:rPr>
          <w:rFonts w:ascii="Arial" w:eastAsia="宋体" w:hAnsi="Arial" w:cs="Arial"/>
          <w:kern w:val="0"/>
          <w:szCs w:val="21"/>
        </w:rPr>
        <w:t>)</w:t>
      </w:r>
    </w:p>
    <w:p w14:paraId="3AB3D0C1" w14:textId="77777777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 xml:space="preserve">Note: For complex (&gt;10 fragment) assemblies, high efficiencies are achievable with increased ligase and BsaI-HFv2 levels (1000 units T4 DNA Ligase, 30 units BsaI-HFv2), as listed in this protocol. For assemblies involving 10 fragments and less, the standard amounts (500 units T4 DNA Ligase, 15 units BsaI-HFv2) are sufficient. Note the reaction volume of 25 µl is used to allow sufficient volume for </w:t>
      </w:r>
      <w:proofErr w:type="spellStart"/>
      <w:r w:rsidRPr="00FE5DAC">
        <w:rPr>
          <w:rFonts w:ascii="Arial" w:eastAsia="宋体" w:hAnsi="Arial" w:cs="Arial"/>
          <w:kern w:val="0"/>
          <w:szCs w:val="21"/>
        </w:rPr>
        <w:t>precloned</w:t>
      </w:r>
      <w:proofErr w:type="spellEnd"/>
      <w:r w:rsidRPr="00FE5DAC">
        <w:rPr>
          <w:rFonts w:ascii="Arial" w:eastAsia="宋体" w:hAnsi="Arial" w:cs="Arial"/>
          <w:kern w:val="0"/>
          <w:szCs w:val="21"/>
        </w:rPr>
        <w:t xml:space="preserve"> insert additions, if needed.</w:t>
      </w:r>
    </w:p>
    <w:p w14:paraId="442BE23B" w14:textId="6292C101" w:rsidR="00E3289E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 w:hint="eastAsia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 </w:t>
      </w:r>
    </w:p>
    <w:p w14:paraId="33C7A9E9" w14:textId="77777777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outlineLvl w:val="1"/>
        <w:rPr>
          <w:rFonts w:ascii="Arial" w:eastAsia="宋体" w:hAnsi="Arial" w:cs="Arial"/>
          <w:b/>
          <w:bCs/>
          <w:kern w:val="0"/>
          <w:sz w:val="28"/>
          <w:szCs w:val="28"/>
        </w:rPr>
      </w:pPr>
      <w:r w:rsidRPr="00FE5DAC">
        <w:rPr>
          <w:rFonts w:ascii="Arial" w:eastAsia="宋体" w:hAnsi="Arial" w:cs="Arial"/>
          <w:b/>
          <w:bCs/>
          <w:kern w:val="0"/>
          <w:sz w:val="28"/>
          <w:szCs w:val="28"/>
        </w:rPr>
        <w:t>Assembly Reactions</w:t>
      </w:r>
    </w:p>
    <w:p w14:paraId="0DCE1508" w14:textId="06FAA7D4" w:rsidR="00FE5DAC" w:rsidRDefault="00FE5DAC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 xml:space="preserve">1. </w:t>
      </w:r>
      <w:r w:rsidRPr="00FE5DAC">
        <w:rPr>
          <w:rFonts w:ascii="Arial" w:eastAsia="宋体" w:hAnsi="Arial" w:cs="Arial"/>
          <w:kern w:val="0"/>
          <w:szCs w:val="21"/>
        </w:rPr>
        <w:t>Set up 25 µl assembly reactions as follows:</w:t>
      </w:r>
    </w:p>
    <w:p w14:paraId="59051208" w14:textId="77777777" w:rsidR="00E3289E" w:rsidRDefault="00E3289E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</w:p>
    <w:p w14:paraId="1EB429D1" w14:textId="00B4F831" w:rsidR="00E3289E" w:rsidRDefault="00E3289E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</w:p>
    <w:p w14:paraId="39A22B4B" w14:textId="1D63BEA1" w:rsidR="00E3289E" w:rsidRDefault="00E3289E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</w:p>
    <w:p w14:paraId="1694F863" w14:textId="6C09B5E5" w:rsidR="00E3289E" w:rsidRDefault="00E3289E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</w:p>
    <w:p w14:paraId="4B93FA6B" w14:textId="77777777" w:rsidR="00E3289E" w:rsidRPr="00FE5DAC" w:rsidRDefault="00E3289E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 w:hint="eastAsia"/>
          <w:kern w:val="0"/>
          <w:szCs w:val="21"/>
        </w:rPr>
      </w:pPr>
    </w:p>
    <w:p w14:paraId="26D20BB0" w14:textId="72A6616E" w:rsidR="00FE5DAC" w:rsidRPr="00FE5DAC" w:rsidRDefault="00FE5DAC" w:rsidP="00FE5DAC">
      <w:pPr>
        <w:widowControl/>
        <w:spacing w:before="100" w:beforeAutospacing="1" w:after="240" w:line="240" w:lineRule="exact"/>
        <w:ind w:left="360"/>
        <w:jc w:val="left"/>
        <w:rPr>
          <w:rFonts w:ascii="Arial" w:eastAsia="宋体" w:hAnsi="Arial" w:cs="Arial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F4A24F" wp14:editId="5CBCFB8F">
            <wp:simplePos x="0" y="0"/>
            <wp:positionH relativeFrom="column">
              <wp:posOffset>232258</wp:posOffset>
            </wp:positionH>
            <wp:positionV relativeFrom="paragraph">
              <wp:posOffset>-1669085</wp:posOffset>
            </wp:positionV>
            <wp:extent cx="5274310" cy="1814830"/>
            <wp:effectExtent l="0" t="0" r="254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5DAC">
        <w:rPr>
          <w:rFonts w:ascii="Arial" w:eastAsia="宋体" w:hAnsi="Arial" w:cs="Arial"/>
          <w:kern w:val="0"/>
          <w:szCs w:val="21"/>
        </w:rPr>
        <w:br/>
        <w:t xml:space="preserve">*or user provided </w:t>
      </w:r>
    </w:p>
    <w:p w14:paraId="63172DD6" w14:textId="63468884" w:rsidR="00FE5DAC" w:rsidRPr="00FE5DAC" w:rsidRDefault="00FE5DAC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 xml:space="preserve">2. </w:t>
      </w:r>
      <w:r w:rsidRPr="00FE5DAC">
        <w:rPr>
          <w:rFonts w:ascii="Arial" w:eastAsia="宋体" w:hAnsi="Arial" w:cs="Arial"/>
          <w:kern w:val="0"/>
          <w:szCs w:val="21"/>
        </w:rPr>
        <w:t>Mix gently by pipetting up and down 4 times.</w:t>
      </w:r>
    </w:p>
    <w:p w14:paraId="0B464EDA" w14:textId="7BD21410" w:rsidR="00FE5DAC" w:rsidRPr="00FE5DAC" w:rsidRDefault="00FE5DAC" w:rsidP="00FE5DAC">
      <w:pPr>
        <w:widowControl/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 xml:space="preserve">3. </w:t>
      </w:r>
      <w:r w:rsidRPr="00FE5DAC">
        <w:rPr>
          <w:rFonts w:ascii="Arial" w:eastAsia="宋体" w:hAnsi="Arial" w:cs="Arial"/>
          <w:kern w:val="0"/>
          <w:szCs w:val="21"/>
        </w:rPr>
        <w:t>Briefly microcentrifuge (1 sec.) to bring material to the bottom of tube.</w:t>
      </w:r>
    </w:p>
    <w:p w14:paraId="234BA816" w14:textId="05DA07D2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lastRenderedPageBreak/>
        <w:t xml:space="preserve">4. </w:t>
      </w:r>
      <w:r w:rsidRPr="00FE5DAC">
        <w:rPr>
          <w:rFonts w:ascii="Arial" w:eastAsia="宋体" w:hAnsi="Arial" w:cs="Arial"/>
          <w:kern w:val="0"/>
          <w:szCs w:val="21"/>
        </w:rPr>
        <w:t>Transfer to thermocycler and program as follows: (5 min 37°C → 5 min 16°C) x 30 cycles followed by 5 min 60°C. If reactions are done overnight, add a 4°C terminal hold to the protocol, but repeat the final 5 min 60°C step the next day before the transformations. </w:t>
      </w:r>
    </w:p>
    <w:p w14:paraId="287C11E2" w14:textId="77777777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 </w:t>
      </w:r>
    </w:p>
    <w:p w14:paraId="3AC6E64A" w14:textId="77777777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outlineLvl w:val="1"/>
        <w:rPr>
          <w:rFonts w:ascii="Arial" w:eastAsia="宋体" w:hAnsi="Arial" w:cs="Arial"/>
          <w:b/>
          <w:bCs/>
          <w:kern w:val="0"/>
          <w:sz w:val="28"/>
          <w:szCs w:val="28"/>
        </w:rPr>
      </w:pPr>
      <w:r w:rsidRPr="00FE5DAC">
        <w:rPr>
          <w:rFonts w:ascii="Arial" w:eastAsia="宋体" w:hAnsi="Arial" w:cs="Arial"/>
          <w:b/>
          <w:bCs/>
          <w:kern w:val="0"/>
          <w:sz w:val="28"/>
          <w:szCs w:val="28"/>
        </w:rPr>
        <w:t>Transformation</w:t>
      </w:r>
    </w:p>
    <w:p w14:paraId="7B7D80E4" w14:textId="77777777" w:rsidR="00FE5DAC" w:rsidRPr="00FE5DAC" w:rsidRDefault="00FE5DAC" w:rsidP="00FE5DAC">
      <w:pPr>
        <w:widowControl/>
        <w:numPr>
          <w:ilvl w:val="0"/>
          <w:numId w:val="3"/>
        </w:numPr>
        <w:spacing w:before="100" w:beforeAutospacing="1" w:after="240" w:line="240" w:lineRule="exact"/>
        <w:ind w:left="714" w:hanging="357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For each assembly, thaw a 50 µl tube of NEB 10-beta competent E. coli cells on ice for 5–10 min.</w:t>
      </w:r>
    </w:p>
    <w:p w14:paraId="18C6AD22" w14:textId="77777777" w:rsidR="00FE5DAC" w:rsidRPr="00FE5DAC" w:rsidRDefault="00FE5DAC" w:rsidP="00FE5DAC">
      <w:pPr>
        <w:widowControl/>
        <w:numPr>
          <w:ilvl w:val="0"/>
          <w:numId w:val="3"/>
        </w:numPr>
        <w:spacing w:before="100" w:beforeAutospacing="1" w:after="240" w:line="240" w:lineRule="exact"/>
        <w:ind w:left="714" w:hanging="357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Add 2 µl of the assembly reaction; gently mix by flicking the tube 4-5 times.</w:t>
      </w:r>
    </w:p>
    <w:p w14:paraId="18ECA009" w14:textId="77777777" w:rsidR="00FE5DAC" w:rsidRPr="00FE5DAC" w:rsidRDefault="00FE5DAC" w:rsidP="00FE5DAC">
      <w:pPr>
        <w:widowControl/>
        <w:numPr>
          <w:ilvl w:val="0"/>
          <w:numId w:val="3"/>
        </w:numPr>
        <w:spacing w:before="100" w:beforeAutospacing="1" w:after="240" w:line="240" w:lineRule="exact"/>
        <w:ind w:left="714" w:hanging="357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Incubate on ice for 30 min.</w:t>
      </w:r>
    </w:p>
    <w:p w14:paraId="48C432F7" w14:textId="77777777" w:rsidR="00FE5DAC" w:rsidRPr="00FE5DAC" w:rsidRDefault="00FE5DAC" w:rsidP="00FE5DAC">
      <w:pPr>
        <w:widowControl/>
        <w:numPr>
          <w:ilvl w:val="0"/>
          <w:numId w:val="3"/>
        </w:numPr>
        <w:spacing w:before="100" w:beforeAutospacing="1" w:after="240" w:line="240" w:lineRule="exact"/>
        <w:ind w:left="714" w:hanging="357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Heat shock at 42°C for 30 sec.</w:t>
      </w:r>
    </w:p>
    <w:p w14:paraId="29E40254" w14:textId="77777777" w:rsidR="00FE5DAC" w:rsidRPr="00FE5DAC" w:rsidRDefault="00FE5DAC" w:rsidP="00FE5DAC">
      <w:pPr>
        <w:widowControl/>
        <w:numPr>
          <w:ilvl w:val="0"/>
          <w:numId w:val="3"/>
        </w:numPr>
        <w:spacing w:before="100" w:beforeAutospacing="1" w:after="240" w:line="240" w:lineRule="exact"/>
        <w:ind w:left="714" w:hanging="357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Place back on ice for 5 min.</w:t>
      </w:r>
    </w:p>
    <w:p w14:paraId="4414F377" w14:textId="77777777" w:rsidR="008F3783" w:rsidRDefault="00FE5DAC" w:rsidP="00FE5DAC">
      <w:pPr>
        <w:widowControl/>
        <w:numPr>
          <w:ilvl w:val="0"/>
          <w:numId w:val="3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Add 950 µl of room temperature NEB 10-beta/Stable Outgrowth Medium (</w:t>
      </w:r>
      <w:hyperlink r:id="rId13" w:history="1">
        <w:r w:rsidRPr="00FE5DAC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NEB #B9035</w:t>
        </w:r>
      </w:hyperlink>
      <w:r w:rsidRPr="00FE5DAC">
        <w:rPr>
          <w:rFonts w:ascii="Arial" w:eastAsia="宋体" w:hAnsi="Arial" w:cs="Arial"/>
          <w:kern w:val="0"/>
          <w:szCs w:val="21"/>
        </w:rPr>
        <w:t>). Incubate at 37°C for 60 mi</w:t>
      </w:r>
    </w:p>
    <w:p w14:paraId="2B3A06C4" w14:textId="48962BA3" w:rsidR="00FE5DAC" w:rsidRPr="00FE5DAC" w:rsidRDefault="00FE5DAC" w:rsidP="00FE5DAC">
      <w:pPr>
        <w:widowControl/>
        <w:numPr>
          <w:ilvl w:val="0"/>
          <w:numId w:val="3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n., shaking vigorously (250 rpm) or using a rotation device.</w:t>
      </w:r>
    </w:p>
    <w:p w14:paraId="6C225428" w14:textId="77777777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 </w:t>
      </w:r>
    </w:p>
    <w:p w14:paraId="7C038341" w14:textId="77777777" w:rsidR="00FE5DAC" w:rsidRPr="00FE5DAC" w:rsidRDefault="00FE5DAC" w:rsidP="00FE5DAC">
      <w:pPr>
        <w:widowControl/>
        <w:spacing w:before="100" w:beforeAutospacing="1" w:after="100" w:afterAutospacing="1" w:line="240" w:lineRule="exact"/>
        <w:jc w:val="left"/>
        <w:outlineLvl w:val="1"/>
        <w:rPr>
          <w:rFonts w:ascii="Arial" w:eastAsia="宋体" w:hAnsi="Arial" w:cs="Arial"/>
          <w:b/>
          <w:bCs/>
          <w:kern w:val="0"/>
          <w:sz w:val="28"/>
          <w:szCs w:val="28"/>
        </w:rPr>
      </w:pPr>
      <w:r w:rsidRPr="00FE5DAC">
        <w:rPr>
          <w:rFonts w:ascii="Arial" w:eastAsia="宋体" w:hAnsi="Arial" w:cs="Arial"/>
          <w:b/>
          <w:bCs/>
          <w:kern w:val="0"/>
          <w:sz w:val="28"/>
          <w:szCs w:val="28"/>
        </w:rPr>
        <w:t>Plating</w:t>
      </w:r>
    </w:p>
    <w:p w14:paraId="2DCF5737" w14:textId="77777777" w:rsidR="00FE5DAC" w:rsidRPr="00FE5DAC" w:rsidRDefault="00FE5DAC" w:rsidP="00FE5DAC">
      <w:pPr>
        <w:widowControl/>
        <w:numPr>
          <w:ilvl w:val="0"/>
          <w:numId w:val="4"/>
        </w:numPr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 xml:space="preserve">Warm LB agar plates containing chloramphenicol (for </w:t>
      </w:r>
      <w:proofErr w:type="spellStart"/>
      <w:r w:rsidRPr="00FE5DAC">
        <w:rPr>
          <w:rFonts w:ascii="Arial" w:eastAsia="宋体" w:hAnsi="Arial" w:cs="Arial"/>
          <w:kern w:val="0"/>
          <w:szCs w:val="21"/>
        </w:rPr>
        <w:t>pGGA</w:t>
      </w:r>
      <w:proofErr w:type="spellEnd"/>
      <w:r w:rsidRPr="00FE5DAC">
        <w:rPr>
          <w:rFonts w:ascii="Arial" w:eastAsia="宋体" w:hAnsi="Arial" w:cs="Arial"/>
          <w:kern w:val="0"/>
          <w:szCs w:val="21"/>
        </w:rPr>
        <w:t>) at 37°C for 15 min.</w:t>
      </w:r>
    </w:p>
    <w:p w14:paraId="0651A38A" w14:textId="77777777" w:rsidR="00FE5DAC" w:rsidRPr="00FE5DAC" w:rsidRDefault="00FE5DAC" w:rsidP="00FE5DAC">
      <w:pPr>
        <w:widowControl/>
        <w:numPr>
          <w:ilvl w:val="0"/>
          <w:numId w:val="4"/>
        </w:numPr>
        <w:spacing w:before="100" w:beforeAutospacing="1" w:after="240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>Mix the cells thoroughly by flicking the tube and inverting, then spread 100 µl outgrowth onto each plate.</w:t>
      </w:r>
    </w:p>
    <w:p w14:paraId="04FB8E59" w14:textId="77777777" w:rsidR="00FE5DAC" w:rsidRPr="00FE5DAC" w:rsidRDefault="00FE5DAC" w:rsidP="00FE5DAC">
      <w:pPr>
        <w:widowControl/>
        <w:numPr>
          <w:ilvl w:val="0"/>
          <w:numId w:val="4"/>
        </w:numPr>
        <w:spacing w:before="100" w:beforeAutospacing="1" w:after="100" w:afterAutospacing="1" w:line="240" w:lineRule="exact"/>
        <w:jc w:val="left"/>
        <w:rPr>
          <w:rFonts w:ascii="Arial" w:eastAsia="宋体" w:hAnsi="Arial" w:cs="Arial"/>
          <w:kern w:val="0"/>
          <w:szCs w:val="21"/>
        </w:rPr>
      </w:pPr>
      <w:r w:rsidRPr="00FE5DAC">
        <w:rPr>
          <w:rFonts w:ascii="Arial" w:eastAsia="宋体" w:hAnsi="Arial" w:cs="Arial"/>
          <w:kern w:val="0"/>
          <w:szCs w:val="21"/>
        </w:rPr>
        <w:t xml:space="preserve">Incubate the plates overnight at 37°C, or 24 </w:t>
      </w:r>
      <w:proofErr w:type="spellStart"/>
      <w:r w:rsidRPr="00FE5DAC">
        <w:rPr>
          <w:rFonts w:ascii="Arial" w:eastAsia="宋体" w:hAnsi="Arial" w:cs="Arial"/>
          <w:kern w:val="0"/>
          <w:szCs w:val="21"/>
        </w:rPr>
        <w:t>hrs</w:t>
      </w:r>
      <w:proofErr w:type="spellEnd"/>
      <w:r w:rsidRPr="00FE5DAC">
        <w:rPr>
          <w:rFonts w:ascii="Arial" w:eastAsia="宋体" w:hAnsi="Arial" w:cs="Arial"/>
          <w:kern w:val="0"/>
          <w:szCs w:val="21"/>
        </w:rPr>
        <w:t xml:space="preserve"> at 30°C, or 48 </w:t>
      </w:r>
      <w:proofErr w:type="spellStart"/>
      <w:r w:rsidRPr="00FE5DAC">
        <w:rPr>
          <w:rFonts w:ascii="Arial" w:eastAsia="宋体" w:hAnsi="Arial" w:cs="Arial"/>
          <w:kern w:val="0"/>
          <w:szCs w:val="21"/>
        </w:rPr>
        <w:t>hrs</w:t>
      </w:r>
      <w:proofErr w:type="spellEnd"/>
      <w:r w:rsidRPr="00FE5DAC">
        <w:rPr>
          <w:rFonts w:ascii="Arial" w:eastAsia="宋体" w:hAnsi="Arial" w:cs="Arial"/>
          <w:kern w:val="0"/>
          <w:szCs w:val="21"/>
        </w:rPr>
        <w:t xml:space="preserve"> at 25°C.</w:t>
      </w:r>
    </w:p>
    <w:p w14:paraId="73AD0B7C" w14:textId="72CD019B" w:rsidR="009B35D3" w:rsidRDefault="009B35D3">
      <w:pPr>
        <w:rPr>
          <w:rFonts w:ascii="Arial" w:hAnsi="Arial" w:cs="Arial"/>
          <w:sz w:val="18"/>
          <w:szCs w:val="20"/>
        </w:rPr>
      </w:pPr>
    </w:p>
    <w:p w14:paraId="3DC38E4C" w14:textId="09913B44" w:rsidR="008F3783" w:rsidRPr="00FE5DAC" w:rsidRDefault="008F3783">
      <w:pPr>
        <w:rPr>
          <w:rFonts w:ascii="Arial" w:hAnsi="Arial" w:cs="Arial" w:hint="eastAsia"/>
          <w:sz w:val="18"/>
          <w:szCs w:val="20"/>
        </w:rPr>
      </w:pPr>
    </w:p>
    <w:sectPr w:rsidR="008F3783" w:rsidRPr="00FE5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1C4"/>
    <w:multiLevelType w:val="multilevel"/>
    <w:tmpl w:val="EDFA0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6112E1"/>
    <w:multiLevelType w:val="multilevel"/>
    <w:tmpl w:val="02F85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7A0C3C"/>
    <w:multiLevelType w:val="multilevel"/>
    <w:tmpl w:val="245C3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2E3580"/>
    <w:multiLevelType w:val="multilevel"/>
    <w:tmpl w:val="6E00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DBD"/>
    <w:rsid w:val="004B35DB"/>
    <w:rsid w:val="008F3783"/>
    <w:rsid w:val="009B35D3"/>
    <w:rsid w:val="009D6DBD"/>
    <w:rsid w:val="00E3289E"/>
    <w:rsid w:val="00FE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B282C"/>
  <w15:chartTrackingRefBased/>
  <w15:docId w15:val="{BBDF03F9-0CAB-4FDB-B8D5-A1CD0D98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E5DA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E5DA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5DA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FE5DA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E5D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E5DAC"/>
    <w:rPr>
      <w:b/>
      <w:bCs/>
    </w:rPr>
  </w:style>
  <w:style w:type="character" w:styleId="a5">
    <w:name w:val="Hyperlink"/>
    <w:basedOn w:val="a0"/>
    <w:uiPriority w:val="99"/>
    <w:semiHidden/>
    <w:unhideWhenUsed/>
    <w:rsid w:val="00FE5DAC"/>
    <w:rPr>
      <w:color w:val="0000FF"/>
      <w:u w:val="single"/>
    </w:rPr>
  </w:style>
  <w:style w:type="character" w:styleId="a6">
    <w:name w:val="Emphasis"/>
    <w:basedOn w:val="a0"/>
    <w:uiPriority w:val="20"/>
    <w:qFormat/>
    <w:rsid w:val="00FE5D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7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ational.neb.com/products/r3733-bsai-hf-v2" TargetMode="External"/><Relationship Id="rId13" Type="http://schemas.openxmlformats.org/officeDocument/2006/relationships/hyperlink" Target="https://international.neb.com/products/b9035-neb-10-beta-stable-out-growth-mediu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ational.neb.com/products/m0202-t4-dna-ligase" TargetMode="External"/><Relationship Id="rId11" Type="http://schemas.openxmlformats.org/officeDocument/2006/relationships/hyperlink" Target="https://international.neb.com/products/e1600-neb-golden-gate-assembly-mix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international.neb.com/products/b9035-neb-10-beta-stable-out-growth-mediu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ational.neb.com/products/c3019-neb-10-beta-competent-e-coli-high-efficienc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34614</dc:creator>
  <cp:keywords/>
  <dc:description/>
  <cp:lastModifiedBy>34614</cp:lastModifiedBy>
  <cp:revision>4</cp:revision>
  <dcterms:created xsi:type="dcterms:W3CDTF">2019-06-08T03:51:00Z</dcterms:created>
  <dcterms:modified xsi:type="dcterms:W3CDTF">2019-06-08T04:05:00Z</dcterms:modified>
</cp:coreProperties>
</file>